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BAA8" w14:textId="77777777" w:rsidR="00312026" w:rsidRDefault="00312026" w:rsidP="00312026">
      <w:pPr>
        <w:pStyle w:val="F2-zkladn"/>
        <w:spacing w:line="276" w:lineRule="auto"/>
        <w:rPr>
          <w:b/>
          <w:sz w:val="28"/>
          <w:szCs w:val="28"/>
        </w:rPr>
      </w:pPr>
      <w:r>
        <w:rPr>
          <w:b/>
          <w:sz w:val="28"/>
          <w:szCs w:val="28"/>
        </w:rPr>
        <w:t>TISKOVÁ ZPRÁVA</w:t>
      </w:r>
    </w:p>
    <w:p w14:paraId="26F28B9C" w14:textId="24CD201E" w:rsidR="00312026" w:rsidRPr="00CA5BF5" w:rsidRDefault="00312026" w:rsidP="00312026">
      <w:pPr>
        <w:pStyle w:val="F2-zkladn"/>
        <w:spacing w:line="276" w:lineRule="auto"/>
        <w:jc w:val="right"/>
        <w:rPr>
          <w:b/>
          <w:sz w:val="28"/>
          <w:szCs w:val="28"/>
        </w:rPr>
      </w:pPr>
      <w:r w:rsidRPr="00455A3C">
        <w:tab/>
      </w:r>
      <w:r w:rsidRPr="00893890">
        <w:t>Praha,</w:t>
      </w:r>
      <w:r>
        <w:t xml:space="preserve"> </w:t>
      </w:r>
      <w:r w:rsidR="000F742A">
        <w:t>26</w:t>
      </w:r>
      <w:r w:rsidR="00931A5E">
        <w:t>. března</w:t>
      </w:r>
      <w:r>
        <w:t xml:space="preserve"> </w:t>
      </w:r>
      <w:r w:rsidRPr="00893890">
        <w:t>202</w:t>
      </w:r>
      <w:r>
        <w:t>6</w:t>
      </w:r>
    </w:p>
    <w:p w14:paraId="0D0C958B" w14:textId="77777777" w:rsidR="00312026" w:rsidRDefault="00312026" w:rsidP="002127C7">
      <w:pPr>
        <w:rPr>
          <w:b/>
          <w:bCs/>
          <w:kern w:val="28"/>
          <w:sz w:val="28"/>
          <w:szCs w:val="28"/>
        </w:rPr>
      </w:pPr>
    </w:p>
    <w:p w14:paraId="3DF204F8" w14:textId="77777777" w:rsidR="00931A5E" w:rsidRPr="00931A5E" w:rsidRDefault="00931A5E" w:rsidP="00931A5E">
      <w:pPr>
        <w:pStyle w:val="F2-zkladn"/>
        <w:rPr>
          <w:b/>
          <w:bCs/>
          <w:kern w:val="28"/>
          <w:sz w:val="28"/>
          <w:szCs w:val="28"/>
        </w:rPr>
      </w:pPr>
      <w:r w:rsidRPr="00931A5E">
        <w:rPr>
          <w:b/>
          <w:bCs/>
          <w:kern w:val="28"/>
          <w:sz w:val="28"/>
          <w:szCs w:val="28"/>
        </w:rPr>
        <w:t xml:space="preserve">Rozvíjející se trhy navzdory geopolitickým šokům vykazují odolnost, ukazuje průzkum analytiků </w:t>
      </w:r>
      <w:proofErr w:type="spellStart"/>
      <w:r w:rsidRPr="00931A5E">
        <w:rPr>
          <w:b/>
          <w:bCs/>
          <w:kern w:val="28"/>
          <w:sz w:val="28"/>
          <w:szCs w:val="28"/>
        </w:rPr>
        <w:t>Fidelity</w:t>
      </w:r>
      <w:proofErr w:type="spellEnd"/>
      <w:r w:rsidRPr="00931A5E">
        <w:rPr>
          <w:b/>
          <w:bCs/>
          <w:kern w:val="28"/>
          <w:sz w:val="28"/>
          <w:szCs w:val="28"/>
        </w:rPr>
        <w:t xml:space="preserve"> International</w:t>
      </w:r>
    </w:p>
    <w:p w14:paraId="79572905" w14:textId="77777777" w:rsidR="001E6F65" w:rsidRPr="001E6F65" w:rsidRDefault="001E6F65" w:rsidP="001E6F65">
      <w:pPr>
        <w:pStyle w:val="F2-zkladn"/>
      </w:pPr>
    </w:p>
    <w:p w14:paraId="2DCFA7D8" w14:textId="77777777" w:rsidR="00931A5E" w:rsidRPr="00931A5E" w:rsidRDefault="00931A5E" w:rsidP="00931A5E">
      <w:pPr>
        <w:numPr>
          <w:ilvl w:val="0"/>
          <w:numId w:val="53"/>
        </w:numPr>
      </w:pPr>
      <w:r w:rsidRPr="00931A5E">
        <w:t xml:space="preserve">Geopolitika komplikuje situaci na trzích, přičemž rizika jsou zvýšená zejména v Evropě a v některých částech Asie </w:t>
      </w:r>
    </w:p>
    <w:p w14:paraId="1266C8F0" w14:textId="77777777" w:rsidR="00931A5E" w:rsidRPr="00931A5E" w:rsidRDefault="00931A5E" w:rsidP="00931A5E">
      <w:pPr>
        <w:numPr>
          <w:ilvl w:val="0"/>
          <w:numId w:val="53"/>
        </w:numPr>
      </w:pPr>
      <w:r w:rsidRPr="00931A5E">
        <w:t xml:space="preserve">Očekávání vývoje se mezi jednotlivými regiony rozvíjejících se trhů výrazně rozchází </w:t>
      </w:r>
    </w:p>
    <w:p w14:paraId="0C374CE6" w14:textId="77777777" w:rsidR="00931A5E" w:rsidRPr="00931A5E" w:rsidRDefault="00931A5E" w:rsidP="00931A5E">
      <w:pPr>
        <w:numPr>
          <w:ilvl w:val="0"/>
          <w:numId w:val="53"/>
        </w:numPr>
      </w:pPr>
      <w:r w:rsidRPr="00931A5E">
        <w:t xml:space="preserve">Průzkum potvrzuje rostoucí rozdíly mezi trhy a význam aktivního výběru u zemí i v případě jednotlivých akcií </w:t>
      </w:r>
    </w:p>
    <w:p w14:paraId="408DBF63" w14:textId="77777777" w:rsidR="00931A5E" w:rsidRPr="00931A5E" w:rsidRDefault="00931A5E" w:rsidP="00931A5E"/>
    <w:p w14:paraId="6800894E" w14:textId="6436EC2A" w:rsidR="00931A5E" w:rsidRPr="00931A5E" w:rsidRDefault="00931A5E" w:rsidP="00931A5E">
      <w:r w:rsidRPr="00931A5E">
        <w:t>Rozvíjející se trhy se vyrovnávají s výrazným nabídkovým šokem po eskalaci konfliktu na Blízkém východě, který narušil energetické toky, zvýšil geopolitické napětí a tlačí vzhůru ceny.</w:t>
      </w:r>
    </w:p>
    <w:p w14:paraId="77A06A12" w14:textId="77777777" w:rsidR="00931A5E" w:rsidRPr="00931A5E" w:rsidRDefault="00931A5E" w:rsidP="00931A5E">
      <w:r w:rsidRPr="00931A5E">
        <w:t>V této situaci budou muset dlouhodobí investoři odhlédnout od krátkodobého šumu a zaměřit se na fundamentální síly, díky kterým se vyvíjí trh v delším horizontu.</w:t>
      </w:r>
    </w:p>
    <w:p w14:paraId="35786F08" w14:textId="2A0EF03C" w:rsidR="00931A5E" w:rsidRPr="00931A5E" w:rsidRDefault="00931A5E" w:rsidP="00931A5E">
      <w:r w:rsidRPr="00931A5E">
        <w:t xml:space="preserve">Právě takový pohled nabízí průzkum analytiků </w:t>
      </w:r>
      <w:proofErr w:type="spellStart"/>
      <w:r w:rsidRPr="00931A5E">
        <w:t>Fidelity</w:t>
      </w:r>
      <w:proofErr w:type="spellEnd"/>
      <w:r w:rsidRPr="00931A5E">
        <w:t xml:space="preserve"> International pro rok 2026, který vychází z globálních poznatků analytiků přímo z terénu a mapuje sektorové i regionální trendy určující dlouhodobé investiční vyhlídky.</w:t>
      </w:r>
    </w:p>
    <w:p w14:paraId="38047CCC" w14:textId="1A22F3A2" w:rsidR="00931A5E" w:rsidRPr="00931A5E" w:rsidRDefault="00931A5E" w:rsidP="00931A5E">
      <w:r w:rsidRPr="00931A5E">
        <w:t>Průzkum zachycuje názory více než 120 analytiků akciových i dluhopisových trhů, kteří vycházejí z více než 20 000 setkání s managementem společností po celém světě.</w:t>
      </w:r>
    </w:p>
    <w:p w14:paraId="1F347148" w14:textId="77777777" w:rsidR="00931A5E" w:rsidRPr="00931A5E" w:rsidRDefault="00931A5E" w:rsidP="00931A5E">
      <w:pPr>
        <w:rPr>
          <w:b/>
          <w:bCs/>
        </w:rPr>
      </w:pPr>
      <w:r w:rsidRPr="00931A5E">
        <w:rPr>
          <w:b/>
          <w:bCs/>
        </w:rPr>
        <w:t>Geopolitické šoky působí jako protivítr</w:t>
      </w:r>
    </w:p>
    <w:p w14:paraId="39EAA276" w14:textId="77777777" w:rsidR="00931A5E" w:rsidRPr="00931A5E" w:rsidRDefault="00931A5E" w:rsidP="00931A5E">
      <w:r w:rsidRPr="00931A5E">
        <w:t>Není překvapením, že analytici sledující Evropu a některé části Asie stále častěji očekávají, že geopolitické či měnové faktory budou v příštích 12 měsících negativně dopadat na ziskovost firem. Zvlášť zranitelná se jeví Evropa, kde většina analytiků čeká středně nebo výrazně negativní dopad a nezanedbatelná část analytiků dokonce výrazně negativní scénář. Podobný obrázek nabízí i region Asie a Pacifiku mimo Čínu a Japonsko, kde negativní očekávání převažují nad pozitivními.</w:t>
      </w:r>
    </w:p>
    <w:p w14:paraId="79675165" w14:textId="3D44D465" w:rsidR="00931A5E" w:rsidRPr="00931A5E" w:rsidRDefault="00931A5E" w:rsidP="00931A5E"/>
    <w:p w14:paraId="0BAA894E" w14:textId="77777777" w:rsidR="00931A5E" w:rsidRPr="00931A5E" w:rsidRDefault="00931A5E" w:rsidP="00931A5E"/>
    <w:p w14:paraId="57A5122A" w14:textId="49E94C6B" w:rsidR="00931A5E" w:rsidRPr="00931A5E" w:rsidRDefault="00931A5E" w:rsidP="00931A5E">
      <w:r w:rsidRPr="00931A5E">
        <w:rPr>
          <w:noProof/>
          <w:lang w:val="en-GB"/>
        </w:rPr>
        <w:lastRenderedPageBreak/>
        <w:drawing>
          <wp:anchor distT="0" distB="0" distL="114300" distR="114300" simplePos="0" relativeHeight="251659264" behindDoc="1" locked="0" layoutInCell="1" allowOverlap="1" wp14:anchorId="18296F58" wp14:editId="72FEB0C2">
            <wp:simplePos x="0" y="0"/>
            <wp:positionH relativeFrom="margin">
              <wp:posOffset>-635</wp:posOffset>
            </wp:positionH>
            <wp:positionV relativeFrom="paragraph">
              <wp:posOffset>1516380</wp:posOffset>
            </wp:positionV>
            <wp:extent cx="5486400" cy="3657600"/>
            <wp:effectExtent l="0" t="0" r="0" b="0"/>
            <wp:wrapTight wrapText="bothSides">
              <wp:wrapPolygon edited="0">
                <wp:start x="0" y="0"/>
                <wp:lineTo x="0" y="21488"/>
                <wp:lineTo x="21525" y="21488"/>
                <wp:lineTo x="21525" y="0"/>
                <wp:lineTo x="0" y="0"/>
              </wp:wrapPolygon>
            </wp:wrapTight>
            <wp:docPr id="1098265431" name="Picture 5" descr="A graph with colorfu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65431" name="Picture 5" descr="A graph with colorful ba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anchor>
        </w:drawing>
      </w:r>
      <w:r w:rsidRPr="00931A5E">
        <w:t>Opatrní zůstávají také analytici zaměření na Čínu – 54 % z nich očekává středně nebo výrazně negativní dopad na ziskovost. Naopak regiony EMEA a Latinská Amerika vykazují výrazně polarizovanější obraz. Analytici zde předpokládají jak výrazně pozitivní, tak výrazně negativní dopady na ziskovost firem. Odráží to rozmanitost těchto regionů, kde jsou některé země a sektory vystaveny rizikům spojeným s hospodářskou politikou či poptávkou, zatímco jiné – zejména ekonomiky a společnosti navázané na suroviny – mohou těžit z vyšších cen komodit a energií.</w:t>
      </w:r>
    </w:p>
    <w:p w14:paraId="699B3362" w14:textId="1625720D" w:rsidR="00931A5E" w:rsidRPr="00931A5E" w:rsidRDefault="00931A5E" w:rsidP="00931A5E">
      <w:r w:rsidRPr="00931A5E">
        <w:t>Téměř dvě třetiny analytiků navíc uvádějí, že do své fundamentální analýzy nadále promítají proměnlivou obchodní politiku, což potvrzuje přetrvávající dopady loňských celních šoků.</w:t>
      </w:r>
    </w:p>
    <w:p w14:paraId="1BA25AED" w14:textId="359513A5" w:rsidR="00931A5E" w:rsidRPr="00931A5E" w:rsidRDefault="00931A5E" w:rsidP="00931A5E">
      <w:proofErr w:type="spellStart"/>
      <w:r w:rsidRPr="00931A5E">
        <w:rPr>
          <w:b/>
          <w:bCs/>
        </w:rPr>
        <w:t>Niamh</w:t>
      </w:r>
      <w:proofErr w:type="spellEnd"/>
      <w:r w:rsidRPr="00931A5E">
        <w:rPr>
          <w:b/>
          <w:bCs/>
        </w:rPr>
        <w:t xml:space="preserve"> </w:t>
      </w:r>
      <w:proofErr w:type="spellStart"/>
      <w:r w:rsidRPr="00931A5E">
        <w:rPr>
          <w:b/>
          <w:bCs/>
        </w:rPr>
        <w:t>Brodie-Machura</w:t>
      </w:r>
      <w:proofErr w:type="spellEnd"/>
      <w:r w:rsidRPr="00931A5E">
        <w:rPr>
          <w:b/>
          <w:bCs/>
        </w:rPr>
        <w:t xml:space="preserve">, CIO pro akcie ve společnosti </w:t>
      </w:r>
      <w:proofErr w:type="spellStart"/>
      <w:r w:rsidRPr="00931A5E">
        <w:rPr>
          <w:b/>
          <w:bCs/>
        </w:rPr>
        <w:t>Fidelity</w:t>
      </w:r>
      <w:proofErr w:type="spellEnd"/>
      <w:r w:rsidRPr="00931A5E">
        <w:rPr>
          <w:b/>
          <w:bCs/>
        </w:rPr>
        <w:t xml:space="preserve"> International, uvedla:</w:t>
      </w:r>
      <w:r w:rsidRPr="00931A5E">
        <w:br/>
        <w:t>„Geopolitický vývoj znovu ovlivňuje očekávání pro rozvíjející se trhy, a to jak přímo prostřednictvím nejistoty v obchodní a hospodářské politice, tak nepřímo přes ceny energií a inflaci. Prudké pohyby na energetických trzích přidávají další vrstvu do celkově složité situace, zejména v regionech citlivějších na narušení dodávek energií. Stabilizace situace by sice mohla zmírnit krátkodobou volatilitu, ale v případě rizik se rovnováha posunula vzhledem k delšímu rušivému období, což zesiluje inflační tlaky, zejména v ekonomikách závislých na dovozu energií.“</w:t>
      </w:r>
    </w:p>
    <w:p w14:paraId="3E86F51D" w14:textId="77777777" w:rsidR="00931A5E" w:rsidRPr="00931A5E" w:rsidRDefault="00931A5E" w:rsidP="00931A5E">
      <w:pPr>
        <w:rPr>
          <w:b/>
          <w:bCs/>
        </w:rPr>
      </w:pPr>
      <w:r w:rsidRPr="00931A5E">
        <w:rPr>
          <w:b/>
          <w:bCs/>
        </w:rPr>
        <w:t>Očekávání výkonnosti se rozcházejí</w:t>
      </w:r>
    </w:p>
    <w:p w14:paraId="5A764129" w14:textId="77777777" w:rsidR="00931A5E" w:rsidRPr="00931A5E" w:rsidRDefault="00931A5E" w:rsidP="00931A5E">
      <w:r w:rsidRPr="00931A5E">
        <w:t>V tomto kontextu zůstává nálada ohledně vývoje akcií rozdílná, nikoli plošně negativní.</w:t>
      </w:r>
    </w:p>
    <w:p w14:paraId="2998E1C9" w14:textId="5A87F2E3" w:rsidR="00931A5E" w:rsidRPr="00931A5E" w:rsidRDefault="00931A5E" w:rsidP="00931A5E">
      <w:r w:rsidRPr="00931A5E">
        <w:lastRenderedPageBreak/>
        <w:t>Mezi analytiky zaměřenými na Čínu považuje 31 % svůj sektor za „podhodnocený“, což je nejvíce ze všech sledovaných regionů. Pro srovnání, v Asii mimo Japonsko a Čínu je to 24 % a v regionu EMEA a Latinské Ameriky 29 %.</w:t>
      </w:r>
      <w:r w:rsidRPr="00931A5E">
        <w:rPr>
          <w:noProof/>
          <w:lang w:val="en-GB"/>
        </w:rPr>
        <w:drawing>
          <wp:anchor distT="0" distB="0" distL="114300" distR="114300" simplePos="0" relativeHeight="251658240" behindDoc="1" locked="0" layoutInCell="1" allowOverlap="1" wp14:anchorId="2B36EAA6" wp14:editId="46D65277">
            <wp:simplePos x="0" y="0"/>
            <wp:positionH relativeFrom="margin">
              <wp:align>left</wp:align>
            </wp:positionH>
            <wp:positionV relativeFrom="paragraph">
              <wp:posOffset>0</wp:posOffset>
            </wp:positionV>
            <wp:extent cx="5486400" cy="3657600"/>
            <wp:effectExtent l="0" t="0" r="0" b="0"/>
            <wp:wrapTight wrapText="bothSides">
              <wp:wrapPolygon edited="0">
                <wp:start x="0" y="0"/>
                <wp:lineTo x="0" y="21488"/>
                <wp:lineTo x="21525" y="21488"/>
                <wp:lineTo x="21525" y="0"/>
                <wp:lineTo x="0" y="0"/>
              </wp:wrapPolygon>
            </wp:wrapTight>
            <wp:docPr id="2111536148" name="Picture 2"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36148" name="Picture 2" descr="A graph of different colored ba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anchor>
        </w:drawing>
      </w:r>
    </w:p>
    <w:p w14:paraId="691AABF7" w14:textId="3E03F22E" w:rsidR="00931A5E" w:rsidRPr="00931A5E" w:rsidRDefault="00931A5E" w:rsidP="00931A5E">
      <w:pPr>
        <w:rPr>
          <w:b/>
          <w:bCs/>
        </w:rPr>
      </w:pPr>
      <w:r w:rsidRPr="00931A5E">
        <w:rPr>
          <w:b/>
          <w:bCs/>
        </w:rPr>
        <w:t>Čínský tah „na inovace“</w:t>
      </w:r>
    </w:p>
    <w:p w14:paraId="32E6290B" w14:textId="2C7DCDED" w:rsidR="00931A5E" w:rsidRPr="00931A5E" w:rsidRDefault="00931A5E" w:rsidP="00931A5E">
      <w:r w:rsidRPr="00931A5E">
        <w:t>Čína zůstává klíčovou součástí příběhu rozvíjejících se trhů, i když vyšší náklady na dovoz energií a obnovené narušení dodavatelských řetězců zvyšují v krátkém období tlak. Dlouhodobější výhled ale dál podporují jiné strukturální růstové faktory. V Číně i nadále dávají prioritu technologickým odvětvím s cílem posílit soběstačnost země, což podporuje růst v oblastech elektromobility, umělé inteligence, biotechnologií a robotiky.</w:t>
      </w:r>
    </w:p>
    <w:p w14:paraId="0CDF3E9A" w14:textId="7151C04E" w:rsidR="00931A5E" w:rsidRPr="00931A5E" w:rsidRDefault="00931A5E" w:rsidP="00931A5E">
      <w:r w:rsidRPr="00931A5E">
        <w:t>Domácí výrobci zařízení pro polovodičový průmysl těží z rozšiřování domácích kapacit a lokalizace dodavatelských řetězců. V biotechnologiích analytici upozorňují na rychlejší vývojové cykly a nižší náklady ve srovnání se západní konkurencí. Spotřebitelská poptávka však je nevyrovnaná. Slabost realitního trhu a dezinflační tlaky přetrvávají, přesto analytici vidí příležitosti jak v prémiovém, tak v hodnotově orientovaném segmentu trhu.</w:t>
      </w:r>
    </w:p>
    <w:p w14:paraId="6B716206" w14:textId="77777777" w:rsidR="00931A5E" w:rsidRPr="00931A5E" w:rsidRDefault="00931A5E" w:rsidP="00931A5E">
      <w:pPr>
        <w:rPr>
          <w:b/>
          <w:bCs/>
        </w:rPr>
      </w:pPr>
      <w:r w:rsidRPr="00931A5E">
        <w:rPr>
          <w:b/>
          <w:bCs/>
        </w:rPr>
        <w:t>Nejednotný výsledek</w:t>
      </w:r>
    </w:p>
    <w:p w14:paraId="77CA7657" w14:textId="77777777" w:rsidR="00931A5E" w:rsidRPr="00931A5E" w:rsidRDefault="00931A5E" w:rsidP="00931A5E">
      <w:r w:rsidRPr="00931A5E">
        <w:t>Délka trvání napětí na Blízkém východě zůstává klíčovou proměnnou. Dlouhodobější narušení by mohlo dále zesílit inflační tlaky a silněji dopadnout na dovozce energií.</w:t>
      </w:r>
    </w:p>
    <w:p w14:paraId="007B510E" w14:textId="77777777" w:rsidR="004A4440" w:rsidRDefault="00931A5E" w:rsidP="00931A5E">
      <w:r w:rsidRPr="00931A5E">
        <w:t>Současně však strukturální růstové faktory a reformní dynamika vedou k čím dál větším rozdílům ve výsledcích napříč jednotlivými trhy.</w:t>
      </w:r>
    </w:p>
    <w:p w14:paraId="7E8B9C1A" w14:textId="30C49455" w:rsidR="00931A5E" w:rsidRPr="00931A5E" w:rsidRDefault="00931A5E" w:rsidP="00931A5E">
      <w:proofErr w:type="spellStart"/>
      <w:r w:rsidRPr="00931A5E">
        <w:rPr>
          <w:b/>
          <w:bCs/>
        </w:rPr>
        <w:lastRenderedPageBreak/>
        <w:t>Niamh</w:t>
      </w:r>
      <w:proofErr w:type="spellEnd"/>
      <w:r w:rsidRPr="00931A5E">
        <w:rPr>
          <w:b/>
          <w:bCs/>
        </w:rPr>
        <w:t xml:space="preserve"> </w:t>
      </w:r>
      <w:proofErr w:type="spellStart"/>
      <w:r w:rsidRPr="00931A5E">
        <w:rPr>
          <w:b/>
          <w:bCs/>
        </w:rPr>
        <w:t>Brodie-Machura</w:t>
      </w:r>
      <w:proofErr w:type="spellEnd"/>
      <w:r w:rsidRPr="00931A5E">
        <w:rPr>
          <w:b/>
          <w:bCs/>
        </w:rPr>
        <w:t xml:space="preserve"> dodává:</w:t>
      </w:r>
      <w:r>
        <w:rPr>
          <w:b/>
          <w:bCs/>
        </w:rPr>
        <w:tab/>
      </w:r>
      <w:r w:rsidRPr="00931A5E">
        <w:br/>
        <w:t>„Z průzkumu analytiků nejvíce vyčnívá míra rozdílnosti uvnitř rozvíjejících se trhů. Rozdíly v tempu reforem, energetické expozici a inovační kapacitě vedou k čím dál odlišnějším výsledkům firem. V takovém prostředí je méně účinné nahlížet na rozvíjející se trhy jako na jednu homogenní třídu aktiv – stále větší význam získává disciplinovaný, odspodu nahoru vedený výběr zemí i jednotlivých akcií.“</w:t>
      </w:r>
    </w:p>
    <w:p w14:paraId="2971EA59" w14:textId="77777777" w:rsidR="00C9576C" w:rsidRDefault="00C9576C" w:rsidP="00C9576C">
      <w:pPr>
        <w:rPr>
          <w:b/>
          <w:bCs/>
        </w:rPr>
      </w:pPr>
    </w:p>
    <w:p w14:paraId="12382C2E" w14:textId="77777777" w:rsidR="00C9576C" w:rsidRDefault="00C9576C" w:rsidP="00C9576C">
      <w:pPr>
        <w:spacing w:before="0" w:line="240" w:lineRule="atLeast"/>
        <w:rPr>
          <w:b/>
        </w:rPr>
      </w:pPr>
      <w:r w:rsidRPr="00455A3C">
        <w:rPr>
          <w:b/>
        </w:rPr>
        <w:t>Pro více informací kontaktujte:</w:t>
      </w:r>
    </w:p>
    <w:p w14:paraId="10039E01" w14:textId="77777777" w:rsidR="00C9576C" w:rsidRDefault="00C9576C" w:rsidP="00C9576C">
      <w:pPr>
        <w:spacing w:before="0" w:line="240" w:lineRule="atLeast"/>
        <w:rPr>
          <w:b/>
        </w:rPr>
      </w:pPr>
      <w:r>
        <w:rPr>
          <w:b/>
        </w:rPr>
        <w:t>Eliška Krohová</w:t>
      </w:r>
    </w:p>
    <w:p w14:paraId="75D1562A" w14:textId="77777777" w:rsidR="00C9576C" w:rsidRPr="00455A3C" w:rsidRDefault="00C9576C" w:rsidP="00C9576C">
      <w:pPr>
        <w:spacing w:before="0" w:line="240" w:lineRule="atLeast"/>
        <w:rPr>
          <w:b/>
          <w:bCs/>
        </w:rPr>
      </w:pPr>
      <w:r w:rsidRPr="00455A3C">
        <w:rPr>
          <w:b/>
          <w:bCs/>
        </w:rPr>
        <w:t>Crest Communications, a.s.</w:t>
      </w:r>
    </w:p>
    <w:p w14:paraId="7AE3863C" w14:textId="77777777" w:rsidR="00C9576C" w:rsidRPr="00455A3C" w:rsidRDefault="00C9576C" w:rsidP="00C9576C">
      <w:pPr>
        <w:spacing w:before="0" w:line="240" w:lineRule="atLeast"/>
      </w:pPr>
    </w:p>
    <w:p w14:paraId="05A1AB1B" w14:textId="77777777" w:rsidR="00C9576C" w:rsidRPr="00455A3C" w:rsidRDefault="00C9576C" w:rsidP="00C9576C">
      <w:pPr>
        <w:spacing w:before="0" w:line="240" w:lineRule="atLeast"/>
      </w:pPr>
      <w:r w:rsidRPr="00455A3C">
        <w:t>Ostrovní 126/30</w:t>
      </w:r>
    </w:p>
    <w:p w14:paraId="262DCF4D" w14:textId="77777777" w:rsidR="00C9576C" w:rsidRPr="00455A3C" w:rsidRDefault="00C9576C" w:rsidP="00C9576C">
      <w:pPr>
        <w:spacing w:before="0" w:line="240" w:lineRule="atLeast"/>
      </w:pPr>
      <w:r w:rsidRPr="00455A3C">
        <w:t>110 00 Praha 1</w:t>
      </w:r>
    </w:p>
    <w:p w14:paraId="4676820E" w14:textId="77777777" w:rsidR="00C9576C" w:rsidRPr="00455A3C" w:rsidRDefault="00C9576C" w:rsidP="00C9576C">
      <w:pPr>
        <w:spacing w:before="0" w:line="240" w:lineRule="atLeast"/>
      </w:pPr>
      <w:proofErr w:type="spellStart"/>
      <w:r>
        <w:t>gsm</w:t>
      </w:r>
      <w:proofErr w:type="spellEnd"/>
      <w:r>
        <w:t>: + 420 720 406 659</w:t>
      </w:r>
    </w:p>
    <w:p w14:paraId="4B683F0F" w14:textId="77777777" w:rsidR="00C9576C" w:rsidRDefault="00C9576C" w:rsidP="00C9576C">
      <w:pPr>
        <w:spacing w:before="0" w:line="240" w:lineRule="atLeast"/>
        <w:rPr>
          <w:rStyle w:val="Hypertextovodkaz"/>
        </w:rPr>
      </w:pPr>
      <w:r w:rsidRPr="00455A3C">
        <w:rPr>
          <w:color w:val="000000"/>
        </w:rPr>
        <w:t xml:space="preserve">e-mail: </w:t>
      </w:r>
      <w:hyperlink r:id="rId13" w:history="1">
        <w:r w:rsidRPr="00E23FD4">
          <w:rPr>
            <w:rStyle w:val="Hypertextovodkaz"/>
          </w:rPr>
          <w:t>eliska.krohova@crestcom.cz</w:t>
        </w:r>
      </w:hyperlink>
    </w:p>
    <w:p w14:paraId="7947F278" w14:textId="77777777" w:rsidR="00C9576C" w:rsidRDefault="00C9576C" w:rsidP="00C9576C">
      <w:pPr>
        <w:shd w:val="clear" w:color="auto" w:fill="FFFFFF"/>
        <w:spacing w:before="0" w:line="360" w:lineRule="atLeast"/>
        <w:rPr>
          <w:b/>
          <w:bCs/>
        </w:rPr>
      </w:pPr>
    </w:p>
    <w:p w14:paraId="582DE57F" w14:textId="77777777" w:rsidR="00C9576C" w:rsidRPr="00D404D5" w:rsidRDefault="00C9576C" w:rsidP="00C9576C">
      <w:pPr>
        <w:shd w:val="clear" w:color="auto" w:fill="FFFFFF"/>
        <w:spacing w:before="0" w:line="360" w:lineRule="atLeast"/>
        <w:rPr>
          <w:b/>
          <w:bCs/>
        </w:rPr>
      </w:pPr>
      <w:r w:rsidRPr="00D404D5">
        <w:rPr>
          <w:b/>
          <w:bCs/>
        </w:rPr>
        <w:t>Informace pro editory:</w:t>
      </w:r>
    </w:p>
    <w:p w14:paraId="73CA155F" w14:textId="77777777" w:rsidR="00C9576C" w:rsidRPr="00AF76C6" w:rsidRDefault="00C9576C" w:rsidP="00C9576C">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AA2CE5B" w14:textId="77777777" w:rsidR="00C9576C" w:rsidRPr="00424771" w:rsidRDefault="00C9576C" w:rsidP="00C9576C">
      <w:pPr>
        <w:pStyle w:val="F2-zkladn"/>
        <w:rPr>
          <w:b/>
          <w:bCs/>
        </w:rPr>
      </w:pPr>
      <w:r w:rsidRPr="00424771">
        <w:rPr>
          <w:b/>
          <w:bCs/>
        </w:rPr>
        <w:t>Důležité upozornění</w:t>
      </w:r>
    </w:p>
    <w:p w14:paraId="42D341D0" w14:textId="77777777" w:rsidR="00C9576C" w:rsidRDefault="00C9576C" w:rsidP="00C9576C">
      <w:pPr>
        <w:pStyle w:val="F2-zkladn"/>
      </w:pPr>
      <w:r>
        <w:t>Toto je propagační materiál. Tento dokument nesmí být bez předchozího souhlasu rozmnožován nebo rozšiřován.</w:t>
      </w:r>
    </w:p>
    <w:p w14:paraId="3D90B0B7" w14:textId="77777777" w:rsidR="00C9576C" w:rsidRDefault="00C9576C" w:rsidP="00C9576C">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2D82263" w14:textId="77777777" w:rsidR="00C9576C" w:rsidRDefault="00C9576C" w:rsidP="00C9576C">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8AC1BDC" w14:textId="77777777" w:rsidR="00C9576C" w:rsidRDefault="00C9576C" w:rsidP="00C9576C">
      <w:pPr>
        <w:pStyle w:val="F2-zkladn"/>
      </w:pPr>
      <w:r>
        <w:lastRenderedPageBreak/>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2DB5B657" w14:textId="77777777" w:rsidR="00C9576C" w:rsidRDefault="00C9576C" w:rsidP="00C9576C">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2F210544" w14:textId="77777777" w:rsidR="00C9576C" w:rsidRDefault="00C9576C" w:rsidP="00C9576C">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20D3DD7E" w14:textId="77777777" w:rsidR="00C9576C" w:rsidRDefault="00C9576C" w:rsidP="00C9576C">
      <w:pPr>
        <w:pStyle w:val="F2-zkladn"/>
      </w:pPr>
      <w:r>
        <w:t>Minulá výkonnost není spolehlivým ukazatelem budoucích výsledků.</w:t>
      </w:r>
    </w:p>
    <w:p w14:paraId="7AE4F1CD" w14:textId="77777777" w:rsidR="00C9576C" w:rsidRDefault="00C9576C" w:rsidP="00C9576C">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C1D4D2B" w14:textId="77777777" w:rsidR="00C9576C" w:rsidRDefault="00C9576C" w:rsidP="00C9576C">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B2642A9" w14:textId="77777777" w:rsidR="00C9576C" w:rsidRDefault="00C9576C" w:rsidP="00C9576C">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4A012BD4" w14:textId="358E8BCF" w:rsidR="00C9576C" w:rsidRPr="00B44B12" w:rsidRDefault="00C9576C" w:rsidP="00B44B12">
      <w:pPr>
        <w:pStyle w:val="F2-zkladn"/>
      </w:pPr>
      <w:r>
        <w:t>Investoři a potenciální investoři mohou získat informace o svých právech ve spojení se stížnostmi a soudními spory na tomto odkazu: https://www.fidelity.cz (v češtině).</w:t>
      </w:r>
    </w:p>
    <w:p w14:paraId="032496E3" w14:textId="3F39227E" w:rsidR="00D20058" w:rsidRDefault="000F742A" w:rsidP="000F742A">
      <w:r w:rsidRPr="000F742A">
        <w:rPr>
          <w:lang w:val="de-AT"/>
        </w:rPr>
        <w:t>MKAT13661</w:t>
      </w:r>
    </w:p>
    <w:sectPr w:rsidR="00D20058" w:rsidSect="00F50497">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C406" w14:textId="77777777" w:rsidR="00F65DA7" w:rsidRDefault="00F65DA7">
      <w:r>
        <w:separator/>
      </w:r>
    </w:p>
  </w:endnote>
  <w:endnote w:type="continuationSeparator" w:id="0">
    <w:p w14:paraId="11865E03" w14:textId="77777777" w:rsidR="00F65DA7" w:rsidRDefault="00F6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D5FB" w14:textId="77777777" w:rsidR="00F65DA7" w:rsidRDefault="00F65DA7">
      <w:r>
        <w:separator/>
      </w:r>
    </w:p>
  </w:footnote>
  <w:footnote w:type="continuationSeparator" w:id="0">
    <w:p w14:paraId="7E10D062" w14:textId="77777777" w:rsidR="00F65DA7" w:rsidRDefault="00F65DA7">
      <w:r>
        <w:continuationSeparator/>
      </w:r>
    </w:p>
  </w:footnote>
  <w:footnote w:type="continuationNotice" w:id="1">
    <w:p w14:paraId="229ECEB0" w14:textId="77777777" w:rsidR="00F65DA7" w:rsidRDefault="00F65D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6F274F"/>
    <w:multiLevelType w:val="multilevel"/>
    <w:tmpl w:val="5FE8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8"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20"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4"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9"/>
  </w:num>
  <w:num w:numId="2" w16cid:durableId="1895313556">
    <w:abstractNumId w:val="40"/>
  </w:num>
  <w:num w:numId="3" w16cid:durableId="1213884590">
    <w:abstractNumId w:val="47"/>
  </w:num>
  <w:num w:numId="4" w16cid:durableId="249312893">
    <w:abstractNumId w:val="25"/>
  </w:num>
  <w:num w:numId="5" w16cid:durableId="315694586">
    <w:abstractNumId w:val="27"/>
  </w:num>
  <w:num w:numId="6" w16cid:durableId="108403674">
    <w:abstractNumId w:val="23"/>
  </w:num>
  <w:num w:numId="7" w16cid:durableId="604575006">
    <w:abstractNumId w:val="45"/>
  </w:num>
  <w:num w:numId="8" w16cid:durableId="2105804766">
    <w:abstractNumId w:val="30"/>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7"/>
  </w:num>
  <w:num w:numId="21" w16cid:durableId="1864786788">
    <w:abstractNumId w:val="38"/>
  </w:num>
  <w:num w:numId="22" w16cid:durableId="907761201">
    <w:abstractNumId w:val="14"/>
  </w:num>
  <w:num w:numId="23" w16cid:durableId="827669594">
    <w:abstractNumId w:val="10"/>
  </w:num>
  <w:num w:numId="24" w16cid:durableId="1534538987">
    <w:abstractNumId w:val="15"/>
  </w:num>
  <w:num w:numId="25" w16cid:durableId="274143246">
    <w:abstractNumId w:val="21"/>
  </w:num>
  <w:num w:numId="26" w16cid:durableId="1315336715">
    <w:abstractNumId w:val="44"/>
  </w:num>
  <w:num w:numId="27" w16cid:durableId="769544694">
    <w:abstractNumId w:val="35"/>
  </w:num>
  <w:num w:numId="28" w16cid:durableId="424962738">
    <w:abstractNumId w:val="22"/>
  </w:num>
  <w:num w:numId="29" w16cid:durableId="1088423855">
    <w:abstractNumId w:val="24"/>
  </w:num>
  <w:num w:numId="30" w16cid:durableId="838152150">
    <w:abstractNumId w:val="26"/>
  </w:num>
  <w:num w:numId="31" w16cid:durableId="771709832">
    <w:abstractNumId w:val="39"/>
  </w:num>
  <w:num w:numId="32" w16cid:durableId="1570068625">
    <w:abstractNumId w:val="48"/>
  </w:num>
  <w:num w:numId="33" w16cid:durableId="280261214">
    <w:abstractNumId w:val="34"/>
  </w:num>
  <w:num w:numId="34" w16cid:durableId="1755005586">
    <w:abstractNumId w:val="46"/>
  </w:num>
  <w:num w:numId="35" w16cid:durableId="975062918">
    <w:abstractNumId w:val="50"/>
  </w:num>
  <w:num w:numId="36" w16cid:durableId="65340861">
    <w:abstractNumId w:val="16"/>
  </w:num>
  <w:num w:numId="37" w16cid:durableId="369651298">
    <w:abstractNumId w:val="43"/>
  </w:num>
  <w:num w:numId="38" w16cid:durableId="561336543">
    <w:abstractNumId w:val="18"/>
  </w:num>
  <w:num w:numId="39" w16cid:durableId="993333316">
    <w:abstractNumId w:val="32"/>
  </w:num>
  <w:num w:numId="40" w16cid:durableId="945430004">
    <w:abstractNumId w:val="41"/>
  </w:num>
  <w:num w:numId="41" w16cid:durableId="1123378030">
    <w:abstractNumId w:val="49"/>
  </w:num>
  <w:num w:numId="42" w16cid:durableId="2118477175">
    <w:abstractNumId w:val="29"/>
  </w:num>
  <w:num w:numId="43" w16cid:durableId="1760370648">
    <w:abstractNumId w:val="42"/>
  </w:num>
  <w:num w:numId="44" w16cid:durableId="624894503">
    <w:abstractNumId w:val="20"/>
  </w:num>
  <w:num w:numId="45" w16cid:durableId="868492869">
    <w:abstractNumId w:val="51"/>
  </w:num>
  <w:num w:numId="46" w16cid:durableId="321738993">
    <w:abstractNumId w:val="28"/>
  </w:num>
  <w:num w:numId="47" w16cid:durableId="1931890237">
    <w:abstractNumId w:val="36"/>
  </w:num>
  <w:num w:numId="48" w16cid:durableId="1621035614">
    <w:abstractNumId w:val="12"/>
  </w:num>
  <w:num w:numId="49" w16cid:durableId="625696803">
    <w:abstractNumId w:val="31"/>
  </w:num>
  <w:num w:numId="50" w16cid:durableId="1830244003">
    <w:abstractNumId w:val="37"/>
  </w:num>
  <w:num w:numId="51" w16cid:durableId="2144299643">
    <w:abstractNumId w:val="52"/>
  </w:num>
  <w:num w:numId="52" w16cid:durableId="406348410">
    <w:abstractNumId w:val="33"/>
  </w:num>
  <w:num w:numId="53" w16cid:durableId="1151673964">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2078"/>
    <w:rsid w:val="00013232"/>
    <w:rsid w:val="00016492"/>
    <w:rsid w:val="00017E0A"/>
    <w:rsid w:val="00020F03"/>
    <w:rsid w:val="00021D97"/>
    <w:rsid w:val="0002277D"/>
    <w:rsid w:val="000237A9"/>
    <w:rsid w:val="00026B23"/>
    <w:rsid w:val="00026F85"/>
    <w:rsid w:val="000315EE"/>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42A"/>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42E"/>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E6F65"/>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11C7"/>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2026"/>
    <w:rsid w:val="0031400E"/>
    <w:rsid w:val="00316078"/>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1F9F"/>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440"/>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5DA3"/>
    <w:rsid w:val="004D66DB"/>
    <w:rsid w:val="004D79D4"/>
    <w:rsid w:val="004E0978"/>
    <w:rsid w:val="004E14D9"/>
    <w:rsid w:val="004E1CB1"/>
    <w:rsid w:val="004E2D7E"/>
    <w:rsid w:val="004E4B6A"/>
    <w:rsid w:val="004E4ED5"/>
    <w:rsid w:val="004E6300"/>
    <w:rsid w:val="004F16B6"/>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0C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1A5E"/>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4B12"/>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576C"/>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35B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764"/>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DA7"/>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A763B"/>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krohova@crestco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8763</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10228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2</cp:revision>
  <cp:lastPrinted>2015-11-30T16:29:00Z</cp:lastPrinted>
  <dcterms:created xsi:type="dcterms:W3CDTF">2026-03-26T13:30:00Z</dcterms:created>
  <dcterms:modified xsi:type="dcterms:W3CDTF">2026-03-26T13:30:00Z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